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BD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highlight w:val="none"/>
        </w:rPr>
        <w:t>中国邮政证券业务协同发展劳动竞赛</w:t>
      </w:r>
    </w:p>
    <w:p w14:paraId="56648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目标圆满达成</w:t>
      </w:r>
    </w:p>
    <w:p w14:paraId="229174C9">
      <w:pPr>
        <w:pStyle w:val="10"/>
        <w:rPr>
          <w:rFonts w:hint="eastAsia"/>
          <w:color w:val="auto"/>
          <w:highlight w:val="none"/>
          <w:lang w:val="en-US" w:eastAsia="zh-CN"/>
        </w:rPr>
      </w:pPr>
    </w:p>
    <w:p w14:paraId="246E91F6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2024年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集团劳动竞赛开展以来，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</w:rPr>
        <w:t>证券业务协同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项目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得到各级领导的高度重视和广大员工的积极响应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现已全面完成竞赛总目标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19AC1F11">
      <w:pPr>
        <w:spacing w:line="600" w:lineRule="exact"/>
        <w:ind w:firstLine="640" w:firstLineChars="200"/>
        <w:rPr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竞赛期间，</w:t>
      </w:r>
      <w:r>
        <w:rPr>
          <w:rFonts w:hint="eastAsia" w:ascii="仿宋" w:hAnsi="仿宋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中邮证券不断加强资管专业能力建设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，坚持“低波稳健”投资风格，持续丰富产品策略，保障及时供给，累计开发产品140余支，有效匹配邮、银渠道客户需求；</w:t>
      </w:r>
      <w:r>
        <w:rPr>
          <w:rFonts w:hint="eastAsia" w:ascii="仿宋" w:hAnsi="仿宋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" w:hAnsi="仿宋" w:eastAsia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/>
        </w:rPr>
        <w:t>集团联合开展“资管季”系列营销活动，运用“客户清单靶</w:t>
      </w:r>
      <w:r>
        <w:rPr>
          <w:rFonts w:hint="eastAsia" w:ascii="仿宋" w:hAnsi="仿宋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向法”和“数字网格靶向法”，推动实现客户分类分层精准靶向营销；全面加强培训赋能，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搭建场景库、策略库、话术库等，面向邮银渠道开展培训104场，提升一线人员金融服务专业能力。截至</w:t>
      </w:r>
      <w:r>
        <w:rPr>
          <w:rFonts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2024年9月底，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邮政代理金融</w:t>
      </w:r>
      <w:r>
        <w:rPr>
          <w:rFonts w:hint="eastAsia" w:asci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邮储银行个金部</w:t>
      </w:r>
      <w:r>
        <w:rPr>
          <w:rFonts w:hint="eastAsia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仿宋" w:eastAsia="仿宋" w:cs="仿宋"/>
          <w:bCs/>
          <w:color w:val="auto"/>
          <w:sz w:val="32"/>
          <w:szCs w:val="32"/>
          <w:highlight w:val="none"/>
        </w:rPr>
        <w:t>代销中邮</w:t>
      </w:r>
      <w:r>
        <w:rPr>
          <w:rFonts w:hint="eastAsia" w:asci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证券</w:t>
      </w:r>
      <w:r>
        <w:rPr>
          <w:rFonts w:hint="eastAsia" w:ascii="仿宋" w:eastAsia="仿宋" w:cs="仿宋"/>
          <w:bCs/>
          <w:color w:val="auto"/>
          <w:sz w:val="32"/>
          <w:szCs w:val="32"/>
          <w:highlight w:val="none"/>
        </w:rPr>
        <w:t>资管产品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192亿元</w:t>
      </w:r>
      <w:r>
        <w:rPr>
          <w:rFonts w:hint="eastAsia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  <w:t>141亿元，提</w:t>
      </w:r>
      <w:r>
        <w:rPr>
          <w:rFonts w:hint="eastAsia" w:asci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前完成劳动竞赛总目标；中邮证券支付邮储银行代销费3150万元，助力邮、银资管信托规模提升128.75亿元。</w:t>
      </w:r>
    </w:p>
    <w:p w14:paraId="6FDFEFDD">
      <w:pPr>
        <w:spacing w:line="600" w:lineRule="exact"/>
        <w:ind w:firstLine="640" w:firstLineChars="200"/>
        <w:rPr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近年来，中邮证券资管凭借优秀的投资业绩和良好的市场口碑，接连斩获</w:t>
      </w:r>
      <w:r>
        <w:rPr>
          <w:rFonts w:hint="eastAsia" w:ascii="仿宋" w:hAnsi="仿宋" w:eastAsia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“券商资管优秀固收团队金榛子奖”、“成长券商资管示范机构英华奖”</w:t>
      </w:r>
      <w:r>
        <w:rPr>
          <w:rFonts w:hint="eastAsia" w:ascii="Times New Roman" w:hAnsi="Times New Roman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等</w:t>
      </w:r>
      <w:r>
        <w:rPr>
          <w:rFonts w:hint="eastAsia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多个</w:t>
      </w:r>
      <w:r>
        <w:rPr>
          <w:rFonts w:hint="eastAsia" w:ascii="Times New Roman" w:hAnsi="Times New Roman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行业内</w:t>
      </w:r>
      <w:r>
        <w:rPr>
          <w:rFonts w:hint="eastAsia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重要奖项，品牌影响力日益增强。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截至今年9月底，中邮证券资管管理规模已达831亿元，位居行业第20名。</w:t>
      </w:r>
      <w:r>
        <w:rPr>
          <w:rFonts w:hint="eastAsia" w:eastAsia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后续，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中邮证券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将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持续巩固劳动竞赛成果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，推动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证券业务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协同发展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取得新突破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有效助力集团财富管理转型</w:t>
      </w:r>
      <w:r>
        <w:rPr>
          <w:rFonts w:ascii="仿宋" w:hAnsi="仿宋" w:eastAsia="仿宋"/>
          <w:color w:val="auto"/>
          <w:kern w:val="2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DF1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48B0F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48B0F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jNhYjUzODhmMjY0ODVjYTA2OTdlNzNjZTAzMjBjNDgifQ=="/>
  </w:docVars>
  <w:rsids>
    <w:rsidRoot w:val="00172A27"/>
    <w:rsid w:val="09F474FE"/>
    <w:rsid w:val="20BE4BC5"/>
    <w:rsid w:val="216C1C79"/>
    <w:rsid w:val="2ECB71EF"/>
    <w:rsid w:val="37DA7D27"/>
    <w:rsid w:val="3AA64AC8"/>
    <w:rsid w:val="49892749"/>
    <w:rsid w:val="52432C25"/>
    <w:rsid w:val="5A8C710D"/>
    <w:rsid w:val="644E0701"/>
    <w:rsid w:val="677A0A3F"/>
    <w:rsid w:val="67FD341E"/>
    <w:rsid w:val="7352505D"/>
    <w:rsid w:val="7EA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Body Text First Indent 22"/>
    <w:basedOn w:val="1"/>
    <w:qFormat/>
    <w:uiPriority w:val="0"/>
    <w:pPr>
      <w:spacing w:line="500" w:lineRule="exact"/>
      <w:ind w:firstLine="200" w:firstLineChars="200"/>
    </w:pPr>
    <w:rPr>
      <w:rFonts w:ascii="Calibri" w:hAnsi="Calibri" w:cs="Calibri"/>
      <w:szCs w:val="24"/>
    </w:rPr>
  </w:style>
  <w:style w:type="character" w:customStyle="1" w:styleId="11">
    <w:name w:val="heading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486BE-F520-4CD5-B9DF-C72CEEBC2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515</Words>
  <Characters>540</Characters>
  <Lines>0</Lines>
  <Paragraphs>7</Paragraphs>
  <TotalTime>155</TotalTime>
  <ScaleCrop>false</ScaleCrop>
  <LinksUpToDate>false</LinksUpToDate>
  <CharactersWithSpaces>540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2024-10-11T02:53:00Z</dcterms:created>
  <dc:creator>项允</dc:creator>
  <cp:lastModifiedBy>王贤</cp:lastModifiedBy>
  <cp:lastPrinted>2024-10-17T02:29:00Z</cp:lastPrinted>
  <dcterms:modified xsi:type="dcterms:W3CDTF">2024-10-17T05:36:59Z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09F2F32E380442E6B2AB97954A942981_13</vt:lpwstr>
  </property>
</Properties>
</file>